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28" w:rsidRPr="00F7099C" w:rsidRDefault="002A0D28" w:rsidP="002A0D28">
      <w:pPr>
        <w:widowControl/>
        <w:spacing w:before="100" w:beforeAutospacing="1" w:after="100" w:afterAutospacing="1" w:line="360" w:lineRule="auto"/>
        <w:jc w:val="both"/>
        <w:rPr>
          <w:rFonts w:ascii="新細明體" w:hAnsi="新細明體" w:cs="新細明體"/>
          <w:kern w:val="0"/>
          <w:sz w:val="18"/>
          <w:szCs w:val="18"/>
        </w:rPr>
      </w:pPr>
      <w:r w:rsidRPr="00F7099C">
        <w:rPr>
          <w:rFonts w:cs="新細明體" w:hint="eastAsia"/>
          <w:b/>
          <w:bCs/>
          <w:kern w:val="0"/>
          <w:sz w:val="20"/>
          <w:szCs w:val="20"/>
        </w:rPr>
        <w:t>附表</w:t>
      </w:r>
      <w:r w:rsidR="00A63C39">
        <w:rPr>
          <w:rFonts w:cs="新細明體" w:hint="eastAsia"/>
          <w:b/>
          <w:bCs/>
          <w:color w:val="FF0000"/>
          <w:kern w:val="0"/>
          <w:sz w:val="20"/>
          <w:szCs w:val="20"/>
        </w:rPr>
        <w:t>四</w:t>
      </w:r>
    </w:p>
    <w:p w:rsidR="00A363BB" w:rsidRDefault="00984A7D" w:rsidP="00984A7D">
      <w:pPr>
        <w:spacing w:line="360" w:lineRule="exact"/>
        <w:jc w:val="center"/>
        <w:rPr>
          <w:rFonts w:asciiTheme="majorEastAsia" w:eastAsiaTheme="majorEastAsia" w:hAnsiTheme="majorEastAsia"/>
          <w:b/>
          <w:sz w:val="20"/>
          <w:szCs w:val="20"/>
        </w:rPr>
      </w:pP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國立嘉義大</w:t>
      </w:r>
      <w:r w:rsidRPr="00A63C39">
        <w:rPr>
          <w:rFonts w:asciiTheme="majorEastAsia" w:eastAsiaTheme="majorEastAsia" w:hAnsiTheme="majorEastAsia" w:hint="eastAsia"/>
          <w:b/>
          <w:sz w:val="20"/>
          <w:szCs w:val="20"/>
        </w:rPr>
        <w:t>學</w:t>
      </w:r>
      <w:r w:rsidR="00A84DFB" w:rsidRPr="00A63C39">
        <w:rPr>
          <w:rFonts w:asciiTheme="majorEastAsia" w:eastAsiaTheme="majorEastAsia" w:hAnsiTheme="majorEastAsia" w:hint="eastAsia"/>
          <w:b/>
          <w:sz w:val="20"/>
          <w:szCs w:val="20"/>
        </w:rPr>
        <w:t>理工學院</w:t>
      </w:r>
      <w:r w:rsidR="00194735" w:rsidRPr="00A63C39">
        <w:rPr>
          <w:rFonts w:asciiTheme="majorEastAsia" w:eastAsiaTheme="majorEastAsia" w:hAnsiTheme="majorEastAsia" w:hint="eastAsia"/>
          <w:b/>
          <w:sz w:val="20"/>
          <w:szCs w:val="20"/>
        </w:rPr>
        <w:t>電子物理學系</w:t>
      </w:r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各類型升等教師之升等評審項目配分標準、</w:t>
      </w:r>
      <w:proofErr w:type="gramStart"/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採</w:t>
      </w:r>
      <w:proofErr w:type="gramEnd"/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計</w:t>
      </w: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範圍</w:t>
      </w:r>
      <w:r w:rsidR="00E35688">
        <w:rPr>
          <w:rFonts w:asciiTheme="majorEastAsia" w:eastAsiaTheme="majorEastAsia" w:hAnsiTheme="majorEastAsia" w:hint="eastAsia"/>
          <w:b/>
          <w:sz w:val="20"/>
          <w:szCs w:val="20"/>
        </w:rPr>
        <w:t>、</w:t>
      </w:r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評審內容</w:t>
      </w:r>
      <w:r w:rsidR="00194735">
        <w:rPr>
          <w:rFonts w:asciiTheme="majorEastAsia" w:eastAsiaTheme="majorEastAsia" w:hAnsiTheme="majorEastAsia"/>
          <w:b/>
          <w:sz w:val="20"/>
          <w:szCs w:val="20"/>
        </w:rPr>
        <w:br/>
      </w:r>
      <w:r w:rsidR="00E35688">
        <w:rPr>
          <w:rFonts w:asciiTheme="majorEastAsia" w:eastAsiaTheme="majorEastAsia" w:hAnsiTheme="majorEastAsia" w:hint="eastAsia"/>
          <w:b/>
          <w:sz w:val="20"/>
          <w:szCs w:val="20"/>
        </w:rPr>
        <w:t>及通過標準</w:t>
      </w:r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一覽表</w:t>
      </w:r>
    </w:p>
    <w:p w:rsidR="00A63C39" w:rsidRDefault="00A63C39" w:rsidP="003D2B1A">
      <w:pPr>
        <w:adjustRightInd w:val="0"/>
        <w:snapToGrid w:val="0"/>
        <w:jc w:val="right"/>
        <w:rPr>
          <w:rFonts w:eastAsia="標楷體" w:hAnsi="標楷體"/>
          <w:bCs/>
          <w:color w:val="FF0000"/>
          <w:sz w:val="16"/>
          <w:szCs w:val="16"/>
        </w:rPr>
      </w:pPr>
      <w:r w:rsidRPr="00466628">
        <w:rPr>
          <w:rFonts w:eastAsia="標楷體"/>
          <w:bCs/>
          <w:color w:val="FF0000"/>
          <w:sz w:val="16"/>
          <w:szCs w:val="16"/>
        </w:rPr>
        <w:t>105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年</w:t>
      </w:r>
      <w:r w:rsidRPr="00466628">
        <w:rPr>
          <w:rFonts w:eastAsia="標楷體"/>
          <w:bCs/>
          <w:color w:val="FF0000"/>
          <w:sz w:val="16"/>
          <w:szCs w:val="16"/>
        </w:rPr>
        <w:t>12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月</w:t>
      </w:r>
      <w:r w:rsidRPr="00466628">
        <w:rPr>
          <w:rFonts w:eastAsia="標楷體"/>
          <w:bCs/>
          <w:color w:val="FF0000"/>
          <w:sz w:val="16"/>
          <w:szCs w:val="16"/>
        </w:rPr>
        <w:t>20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日</w:t>
      </w:r>
      <w:r w:rsidRPr="00466628">
        <w:rPr>
          <w:rFonts w:eastAsia="標楷體"/>
          <w:bCs/>
          <w:color w:val="FF0000"/>
          <w:sz w:val="16"/>
          <w:szCs w:val="16"/>
        </w:rPr>
        <w:t>105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學年度第一學期第</w:t>
      </w:r>
      <w:r w:rsidRPr="00466628">
        <w:rPr>
          <w:rFonts w:eastAsia="標楷體" w:hAnsi="標楷體"/>
          <w:bCs/>
          <w:color w:val="FF0000"/>
          <w:sz w:val="16"/>
          <w:szCs w:val="16"/>
        </w:rPr>
        <w:t>3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次系教</w:t>
      </w:r>
      <w:proofErr w:type="gramStart"/>
      <w:r w:rsidRPr="00466628">
        <w:rPr>
          <w:rFonts w:eastAsia="標楷體" w:hAnsi="標楷體" w:hint="eastAsia"/>
          <w:bCs/>
          <w:color w:val="FF0000"/>
          <w:sz w:val="16"/>
          <w:szCs w:val="16"/>
        </w:rPr>
        <w:t>評暨第</w:t>
      </w:r>
      <w:r w:rsidRPr="00466628">
        <w:rPr>
          <w:rFonts w:eastAsia="標楷體" w:hAnsi="標楷體"/>
          <w:bCs/>
          <w:color w:val="FF0000"/>
          <w:sz w:val="16"/>
          <w:szCs w:val="16"/>
        </w:rPr>
        <w:t>4</w:t>
      </w:r>
      <w:r w:rsidRPr="00466628">
        <w:rPr>
          <w:rFonts w:eastAsia="標楷體" w:hAnsi="標楷體" w:hint="eastAsia"/>
          <w:bCs/>
          <w:color w:val="FF0000"/>
          <w:sz w:val="16"/>
          <w:szCs w:val="16"/>
        </w:rPr>
        <w:t>次系務</w:t>
      </w:r>
      <w:proofErr w:type="gramEnd"/>
      <w:r w:rsidRPr="00466628">
        <w:rPr>
          <w:rFonts w:eastAsia="標楷體" w:hAnsi="標楷體" w:hint="eastAsia"/>
          <w:bCs/>
          <w:color w:val="FF0000"/>
          <w:sz w:val="16"/>
          <w:szCs w:val="16"/>
        </w:rPr>
        <w:t>會議修正通過</w:t>
      </w:r>
    </w:p>
    <w:p w:rsidR="00C05C00" w:rsidRDefault="00C05C00" w:rsidP="003D2B1A">
      <w:pPr>
        <w:adjustRightInd w:val="0"/>
        <w:snapToGrid w:val="0"/>
        <w:jc w:val="right"/>
        <w:rPr>
          <w:rFonts w:eastAsia="標楷體"/>
          <w:bCs/>
          <w:color w:val="FF0000"/>
          <w:sz w:val="16"/>
          <w:szCs w:val="16"/>
        </w:rPr>
      </w:pPr>
      <w:r w:rsidRPr="00900A7F">
        <w:rPr>
          <w:rFonts w:eastAsia="標楷體" w:hint="eastAsia"/>
          <w:bCs/>
          <w:color w:val="FF0000"/>
          <w:sz w:val="16"/>
          <w:szCs w:val="16"/>
        </w:rPr>
        <w:t>106</w:t>
      </w:r>
      <w:r w:rsidRPr="00900A7F">
        <w:rPr>
          <w:rFonts w:eastAsia="標楷體" w:hint="eastAsia"/>
          <w:bCs/>
          <w:color w:val="FF0000"/>
          <w:sz w:val="16"/>
          <w:szCs w:val="16"/>
        </w:rPr>
        <w:t>年</w:t>
      </w:r>
      <w:r w:rsidRPr="00900A7F">
        <w:rPr>
          <w:rFonts w:eastAsia="標楷體" w:hint="eastAsia"/>
          <w:bCs/>
          <w:color w:val="FF0000"/>
          <w:sz w:val="16"/>
          <w:szCs w:val="16"/>
        </w:rPr>
        <w:t>1</w:t>
      </w:r>
      <w:r w:rsidRPr="00900A7F">
        <w:rPr>
          <w:rFonts w:eastAsia="標楷體" w:hint="eastAsia"/>
          <w:bCs/>
          <w:color w:val="FF0000"/>
          <w:sz w:val="16"/>
          <w:szCs w:val="16"/>
        </w:rPr>
        <w:t>月</w:t>
      </w:r>
      <w:r w:rsidRPr="00900A7F">
        <w:rPr>
          <w:rFonts w:eastAsia="標楷體" w:hint="eastAsia"/>
          <w:bCs/>
          <w:color w:val="FF0000"/>
          <w:sz w:val="16"/>
          <w:szCs w:val="16"/>
        </w:rPr>
        <w:t>10</w:t>
      </w:r>
      <w:r w:rsidRPr="00900A7F">
        <w:rPr>
          <w:rFonts w:eastAsia="標楷體" w:hint="eastAsia"/>
          <w:bCs/>
          <w:color w:val="FF0000"/>
          <w:sz w:val="16"/>
          <w:szCs w:val="16"/>
        </w:rPr>
        <w:t>日</w:t>
      </w:r>
      <w:r w:rsidRPr="00900A7F">
        <w:rPr>
          <w:rFonts w:eastAsia="標楷體" w:hint="eastAsia"/>
          <w:bCs/>
          <w:color w:val="FF0000"/>
          <w:sz w:val="16"/>
          <w:szCs w:val="16"/>
        </w:rPr>
        <w:t>105</w:t>
      </w:r>
      <w:r w:rsidRPr="00900A7F">
        <w:rPr>
          <w:rFonts w:eastAsia="標楷體" w:hint="eastAsia"/>
          <w:bCs/>
          <w:color w:val="FF0000"/>
          <w:sz w:val="16"/>
          <w:szCs w:val="16"/>
        </w:rPr>
        <w:t>學年度第</w:t>
      </w:r>
      <w:r w:rsidRPr="00900A7F">
        <w:rPr>
          <w:rFonts w:eastAsia="標楷體" w:hint="eastAsia"/>
          <w:bCs/>
          <w:color w:val="FF0000"/>
          <w:sz w:val="16"/>
          <w:szCs w:val="16"/>
        </w:rPr>
        <w:t>11</w:t>
      </w:r>
      <w:r w:rsidRPr="00900A7F">
        <w:rPr>
          <w:rFonts w:eastAsia="標楷體" w:hint="eastAsia"/>
          <w:bCs/>
          <w:color w:val="FF0000"/>
          <w:sz w:val="16"/>
          <w:szCs w:val="16"/>
        </w:rPr>
        <w:t>次院教評會議修正通過</w:t>
      </w:r>
    </w:p>
    <w:p w:rsidR="00E34AFD" w:rsidRDefault="00E34AFD" w:rsidP="003D2B1A">
      <w:pPr>
        <w:adjustRightInd w:val="0"/>
        <w:snapToGrid w:val="0"/>
        <w:jc w:val="right"/>
        <w:rPr>
          <w:rFonts w:eastAsia="標楷體" w:hint="eastAsia"/>
          <w:bCs/>
          <w:color w:val="FF0000"/>
          <w:sz w:val="16"/>
          <w:szCs w:val="16"/>
        </w:rPr>
      </w:pPr>
      <w:r w:rsidRPr="00E34AFD">
        <w:rPr>
          <w:rFonts w:eastAsia="標楷體" w:hint="eastAsia"/>
          <w:bCs/>
          <w:color w:val="FF0000"/>
          <w:sz w:val="16"/>
          <w:szCs w:val="16"/>
        </w:rPr>
        <w:t>106</w:t>
      </w:r>
      <w:r w:rsidRPr="00E34AFD">
        <w:rPr>
          <w:rFonts w:eastAsia="標楷體" w:hint="eastAsia"/>
          <w:bCs/>
          <w:color w:val="FF0000"/>
          <w:sz w:val="16"/>
          <w:szCs w:val="16"/>
        </w:rPr>
        <w:t>年</w:t>
      </w:r>
      <w:r w:rsidRPr="00E34AFD">
        <w:rPr>
          <w:rFonts w:eastAsia="標楷體" w:hint="eastAsia"/>
          <w:bCs/>
          <w:color w:val="FF0000"/>
          <w:sz w:val="16"/>
          <w:szCs w:val="16"/>
        </w:rPr>
        <w:t>2</w:t>
      </w:r>
      <w:r w:rsidRPr="00E34AFD">
        <w:rPr>
          <w:rFonts w:eastAsia="標楷體" w:hint="eastAsia"/>
          <w:bCs/>
          <w:color w:val="FF0000"/>
          <w:sz w:val="16"/>
          <w:szCs w:val="16"/>
        </w:rPr>
        <w:t>月</w:t>
      </w:r>
      <w:r w:rsidRPr="00E34AFD">
        <w:rPr>
          <w:rFonts w:eastAsia="標楷體" w:hint="eastAsia"/>
          <w:bCs/>
          <w:color w:val="FF0000"/>
          <w:sz w:val="16"/>
          <w:szCs w:val="16"/>
        </w:rPr>
        <w:t>14</w:t>
      </w:r>
      <w:r w:rsidRPr="00E34AFD">
        <w:rPr>
          <w:rFonts w:eastAsia="標楷體" w:hint="eastAsia"/>
          <w:bCs/>
          <w:color w:val="FF0000"/>
          <w:sz w:val="16"/>
          <w:szCs w:val="16"/>
        </w:rPr>
        <w:t>日</w:t>
      </w:r>
      <w:r w:rsidRPr="00E34AFD">
        <w:rPr>
          <w:rFonts w:eastAsia="標楷體" w:hint="eastAsia"/>
          <w:bCs/>
          <w:color w:val="FF0000"/>
          <w:sz w:val="16"/>
          <w:szCs w:val="16"/>
        </w:rPr>
        <w:t>105</w:t>
      </w:r>
      <w:r w:rsidRPr="00E34AFD">
        <w:rPr>
          <w:rFonts w:eastAsia="標楷體" w:hint="eastAsia"/>
          <w:bCs/>
          <w:color w:val="FF0000"/>
          <w:sz w:val="16"/>
          <w:szCs w:val="16"/>
        </w:rPr>
        <w:t>學年度第</w:t>
      </w:r>
      <w:r w:rsidRPr="00E34AFD">
        <w:rPr>
          <w:rFonts w:eastAsia="標楷體" w:hint="eastAsia"/>
          <w:bCs/>
          <w:color w:val="FF0000"/>
          <w:sz w:val="16"/>
          <w:szCs w:val="16"/>
        </w:rPr>
        <w:t>4</w:t>
      </w:r>
      <w:r w:rsidRPr="00E34AFD">
        <w:rPr>
          <w:rFonts w:eastAsia="標楷體" w:hint="eastAsia"/>
          <w:bCs/>
          <w:color w:val="FF0000"/>
          <w:sz w:val="16"/>
          <w:szCs w:val="16"/>
        </w:rPr>
        <w:t>次校教評會議修正通過</w:t>
      </w:r>
    </w:p>
    <w:p w:rsidR="00E94F7B" w:rsidRPr="00E34AFD" w:rsidRDefault="00E94F7B" w:rsidP="003D2B1A">
      <w:pPr>
        <w:adjustRightInd w:val="0"/>
        <w:snapToGrid w:val="0"/>
        <w:jc w:val="right"/>
        <w:rPr>
          <w:rFonts w:eastAsia="標楷體"/>
          <w:bCs/>
          <w:color w:val="FF0000"/>
          <w:sz w:val="16"/>
          <w:szCs w:val="16"/>
        </w:rPr>
      </w:pPr>
      <w:r w:rsidRPr="003D7D40">
        <w:rPr>
          <w:rFonts w:eastAsia="標楷體" w:hint="eastAsia"/>
          <w:bCs/>
          <w:color w:val="FF0000"/>
          <w:sz w:val="16"/>
          <w:szCs w:val="16"/>
        </w:rPr>
        <w:t>106</w:t>
      </w:r>
      <w:r w:rsidRPr="003D7D40">
        <w:rPr>
          <w:rFonts w:eastAsia="標楷體" w:hint="eastAsia"/>
          <w:bCs/>
          <w:color w:val="FF0000"/>
          <w:sz w:val="16"/>
          <w:szCs w:val="16"/>
        </w:rPr>
        <w:t>年</w:t>
      </w:r>
      <w:r w:rsidRPr="003D7D40">
        <w:rPr>
          <w:rFonts w:eastAsia="標楷體" w:hint="eastAsia"/>
          <w:bCs/>
          <w:color w:val="FF0000"/>
          <w:sz w:val="16"/>
          <w:szCs w:val="16"/>
        </w:rPr>
        <w:t>3</w:t>
      </w:r>
      <w:r w:rsidRPr="003D7D40">
        <w:rPr>
          <w:rFonts w:eastAsia="標楷體" w:hint="eastAsia"/>
          <w:bCs/>
          <w:color w:val="FF0000"/>
          <w:sz w:val="16"/>
          <w:szCs w:val="16"/>
        </w:rPr>
        <w:t>月</w:t>
      </w:r>
      <w:bookmarkStart w:id="0" w:name="_GoBack"/>
      <w:bookmarkEnd w:id="0"/>
      <w:r w:rsidRPr="003D7D40">
        <w:rPr>
          <w:rFonts w:eastAsia="標楷體" w:hint="eastAsia"/>
          <w:bCs/>
          <w:color w:val="FF0000"/>
          <w:sz w:val="16"/>
          <w:szCs w:val="16"/>
        </w:rPr>
        <w:t>17</w:t>
      </w:r>
      <w:r w:rsidRPr="003D7D40">
        <w:rPr>
          <w:rFonts w:eastAsia="標楷體" w:hint="eastAsia"/>
          <w:bCs/>
          <w:color w:val="FF0000"/>
          <w:sz w:val="16"/>
          <w:szCs w:val="16"/>
        </w:rPr>
        <w:t>日校長核定公佈實施</w:t>
      </w:r>
    </w:p>
    <w:p w:rsidR="003C3441" w:rsidRPr="002A0D28" w:rsidRDefault="00984A7D">
      <w:pPr>
        <w:rPr>
          <w:rFonts w:asciiTheme="majorEastAsia" w:eastAsiaTheme="majorEastAsia" w:hAnsiTheme="majorEastAsia"/>
          <w:b/>
          <w:sz w:val="20"/>
          <w:szCs w:val="20"/>
        </w:rPr>
      </w:pP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一、</w:t>
      </w:r>
      <w:r w:rsidR="00217B12" w:rsidRPr="002A0D28">
        <w:rPr>
          <w:rFonts w:asciiTheme="majorEastAsia" w:eastAsiaTheme="majorEastAsia" w:hAnsiTheme="majorEastAsia" w:hint="eastAsia"/>
          <w:b/>
          <w:sz w:val="20"/>
          <w:szCs w:val="20"/>
        </w:rPr>
        <w:t>教師升等評審配分標準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97"/>
        <w:gridCol w:w="2297"/>
        <w:gridCol w:w="2298"/>
      </w:tblGrid>
      <w:tr w:rsidR="00595FFE" w:rsidRPr="002A0D28" w:rsidTr="00B07B4B">
        <w:trPr>
          <w:trHeight w:val="653"/>
        </w:trPr>
        <w:tc>
          <w:tcPr>
            <w:tcW w:w="2802" w:type="dxa"/>
            <w:tcBorders>
              <w:tl2br w:val="single" w:sz="4" w:space="0" w:color="auto"/>
            </w:tcBorders>
          </w:tcPr>
          <w:p w:rsidR="00595FFE" w:rsidRPr="002A0D28" w:rsidRDefault="00595FF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="00B07B4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595FFE" w:rsidRPr="002A0D28" w:rsidRDefault="00595FF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97" w:type="dxa"/>
            <w:vAlign w:val="center"/>
          </w:tcPr>
          <w:p w:rsidR="00595FFE" w:rsidRPr="002A0D28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A.</w:t>
            </w:r>
            <w:r w:rsidR="00595FFE"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研究</w:t>
            </w:r>
          </w:p>
        </w:tc>
        <w:tc>
          <w:tcPr>
            <w:tcW w:w="2297" w:type="dxa"/>
            <w:vAlign w:val="center"/>
          </w:tcPr>
          <w:p w:rsidR="00595FFE" w:rsidRPr="002A0D28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B.</w:t>
            </w:r>
            <w:r w:rsidR="00595FFE"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</w:t>
            </w:r>
          </w:p>
        </w:tc>
        <w:tc>
          <w:tcPr>
            <w:tcW w:w="2298" w:type="dxa"/>
            <w:vAlign w:val="center"/>
          </w:tcPr>
          <w:p w:rsidR="00595FFE" w:rsidRPr="002A0D28" w:rsidRDefault="007D1E74" w:rsidP="00B07B4B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C.</w:t>
            </w:r>
            <w:r w:rsidR="00595FFE"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服務</w:t>
            </w:r>
          </w:p>
        </w:tc>
      </w:tr>
      <w:tr w:rsidR="005E340D" w:rsidRPr="002A0D28" w:rsidTr="00B07B4B">
        <w:tc>
          <w:tcPr>
            <w:tcW w:w="2802" w:type="dxa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學術著作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55(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30(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8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15(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</w:tr>
      <w:tr w:rsidR="005E340D" w:rsidRPr="002A0D28" w:rsidTr="00B07B4B">
        <w:tc>
          <w:tcPr>
            <w:tcW w:w="2802" w:type="dxa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教學著作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30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55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  <w:tc>
          <w:tcPr>
            <w:tcW w:w="2298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15(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%)</w:t>
            </w:r>
          </w:p>
        </w:tc>
      </w:tr>
      <w:tr w:rsidR="005E340D" w:rsidRPr="002A0D28" w:rsidTr="00B07B4B">
        <w:tc>
          <w:tcPr>
            <w:tcW w:w="2802" w:type="dxa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技術報告</w:t>
            </w:r>
          </w:p>
        </w:tc>
        <w:tc>
          <w:tcPr>
            <w:tcW w:w="2297" w:type="dxa"/>
            <w:vAlign w:val="center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55(</w:t>
            </w:r>
            <w:r w:rsidRPr="00930106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%)</w:t>
            </w:r>
          </w:p>
        </w:tc>
        <w:tc>
          <w:tcPr>
            <w:tcW w:w="2297" w:type="dxa"/>
            <w:vAlign w:val="center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30(</w:t>
            </w:r>
            <w:r w:rsidRPr="00930106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%)</w:t>
            </w:r>
          </w:p>
        </w:tc>
        <w:tc>
          <w:tcPr>
            <w:tcW w:w="2298" w:type="dxa"/>
            <w:vAlign w:val="center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15(</w:t>
            </w:r>
            <w:r w:rsidRPr="00930106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%)</w:t>
            </w:r>
          </w:p>
        </w:tc>
      </w:tr>
    </w:tbl>
    <w:p w:rsidR="00217B12" w:rsidRPr="002A0D28" w:rsidRDefault="00217B12">
      <w:pPr>
        <w:rPr>
          <w:rFonts w:asciiTheme="majorEastAsia" w:eastAsiaTheme="majorEastAsia" w:hAnsiTheme="majorEastAsia"/>
          <w:sz w:val="20"/>
          <w:szCs w:val="20"/>
        </w:rPr>
      </w:pPr>
    </w:p>
    <w:p w:rsidR="00217B12" w:rsidRPr="002A0D28" w:rsidRDefault="00984A7D">
      <w:pPr>
        <w:rPr>
          <w:rFonts w:asciiTheme="majorEastAsia" w:eastAsiaTheme="majorEastAsia" w:hAnsiTheme="majorEastAsia"/>
          <w:b/>
          <w:sz w:val="20"/>
          <w:szCs w:val="20"/>
        </w:rPr>
      </w:pP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二、</w:t>
      </w:r>
      <w:r w:rsidR="00217B12" w:rsidRPr="002A0D28">
        <w:rPr>
          <w:rFonts w:asciiTheme="majorEastAsia" w:eastAsiaTheme="majorEastAsia" w:hAnsiTheme="majorEastAsia" w:hint="eastAsia"/>
          <w:b/>
          <w:sz w:val="20"/>
          <w:szCs w:val="20"/>
        </w:rPr>
        <w:t>教師升等評審項目</w:t>
      </w:r>
      <w:proofErr w:type="gramStart"/>
      <w:r w:rsidR="00217B12" w:rsidRPr="002A0D28">
        <w:rPr>
          <w:rFonts w:asciiTheme="majorEastAsia" w:eastAsiaTheme="majorEastAsia" w:hAnsiTheme="majorEastAsia" w:hint="eastAsia"/>
          <w:b/>
          <w:sz w:val="20"/>
          <w:szCs w:val="20"/>
        </w:rPr>
        <w:t>採</w:t>
      </w:r>
      <w:proofErr w:type="gramEnd"/>
      <w:r w:rsidR="00217B12" w:rsidRPr="002A0D28">
        <w:rPr>
          <w:rFonts w:asciiTheme="majorEastAsia" w:eastAsiaTheme="majorEastAsia" w:hAnsiTheme="majorEastAsia" w:hint="eastAsia"/>
          <w:b/>
          <w:sz w:val="20"/>
          <w:szCs w:val="20"/>
        </w:rPr>
        <w:t>計</w:t>
      </w: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範圍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1842"/>
        <w:gridCol w:w="2469"/>
        <w:gridCol w:w="2581"/>
      </w:tblGrid>
      <w:tr w:rsidR="007D1E74" w:rsidRPr="002A0D28" w:rsidTr="00097E74">
        <w:trPr>
          <w:trHeight w:val="729"/>
        </w:trPr>
        <w:tc>
          <w:tcPr>
            <w:tcW w:w="2802" w:type="dxa"/>
            <w:tcBorders>
              <w:tl2br w:val="single" w:sz="4" w:space="0" w:color="auto"/>
            </w:tcBorders>
          </w:tcPr>
          <w:p w:rsidR="007D1E74" w:rsidRPr="002A0D28" w:rsidRDefault="007D1E74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B07B4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　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7D1E74" w:rsidRPr="002A0D28" w:rsidRDefault="007D1E74" w:rsidP="001867D6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1842" w:type="dxa"/>
            <w:vAlign w:val="center"/>
          </w:tcPr>
          <w:p w:rsidR="007D1E74" w:rsidRPr="002A0D28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2469" w:type="dxa"/>
            <w:vAlign w:val="center"/>
          </w:tcPr>
          <w:p w:rsidR="007D1E74" w:rsidRPr="002A0D28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2581" w:type="dxa"/>
            <w:vAlign w:val="center"/>
          </w:tcPr>
          <w:p w:rsidR="007D1E74" w:rsidRPr="002A0D28" w:rsidRDefault="007D1E74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</w:tr>
      <w:tr w:rsidR="005E340D" w:rsidRPr="002A0D28" w:rsidTr="00097E74">
        <w:tc>
          <w:tcPr>
            <w:tcW w:w="2802" w:type="dxa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學術著作</w:t>
            </w:r>
          </w:p>
        </w:tc>
        <w:tc>
          <w:tcPr>
            <w:tcW w:w="1842" w:type="dxa"/>
            <w:vMerge w:val="restart"/>
            <w:vAlign w:val="center"/>
          </w:tcPr>
          <w:p w:rsidR="005E340D" w:rsidRPr="00930106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取得前一等級教師資格後之研究成果</w:t>
            </w:r>
          </w:p>
        </w:tc>
        <w:tc>
          <w:tcPr>
            <w:tcW w:w="2469" w:type="dxa"/>
            <w:vMerge w:val="restart"/>
            <w:vAlign w:val="center"/>
          </w:tcPr>
          <w:p w:rsidR="005E340D" w:rsidRPr="00930106" w:rsidRDefault="005E340D" w:rsidP="003B7018">
            <w:pPr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取得前一等級教師資格後之教學成</w:t>
            </w:r>
            <w:r w:rsidR="0039018C" w:rsidRPr="00C05C00">
              <w:rPr>
                <w:rFonts w:asciiTheme="majorEastAsia" w:eastAsiaTheme="majorEastAsia" w:hAnsiTheme="majorEastAsia" w:hint="eastAsia"/>
                <w:b/>
                <w:color w:val="4F6228" w:themeColor="accent3" w:themeShade="80"/>
                <w:sz w:val="20"/>
                <w:szCs w:val="20"/>
                <w:u w:val="single"/>
              </w:rPr>
              <w:t>果</w:t>
            </w:r>
          </w:p>
        </w:tc>
        <w:tc>
          <w:tcPr>
            <w:tcW w:w="2581" w:type="dxa"/>
            <w:vMerge w:val="restart"/>
            <w:vAlign w:val="center"/>
          </w:tcPr>
          <w:p w:rsidR="005E340D" w:rsidRPr="00930106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取得前一等級教師資格後之服務成</w:t>
            </w:r>
            <w:r w:rsidR="0039018C" w:rsidRPr="00C05C00">
              <w:rPr>
                <w:rFonts w:asciiTheme="majorEastAsia" w:eastAsiaTheme="majorEastAsia" w:hAnsiTheme="majorEastAsia" w:hint="eastAsia"/>
                <w:b/>
                <w:color w:val="4F6228" w:themeColor="accent3" w:themeShade="80"/>
                <w:sz w:val="20"/>
                <w:szCs w:val="20"/>
                <w:u w:val="single"/>
              </w:rPr>
              <w:t>果</w:t>
            </w:r>
          </w:p>
        </w:tc>
      </w:tr>
      <w:tr w:rsidR="005E340D" w:rsidRPr="002A0D28" w:rsidTr="00097E74">
        <w:tc>
          <w:tcPr>
            <w:tcW w:w="2802" w:type="dxa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教學著作</w:t>
            </w:r>
          </w:p>
        </w:tc>
        <w:tc>
          <w:tcPr>
            <w:tcW w:w="1842" w:type="dxa"/>
            <w:vMerge/>
            <w:vAlign w:val="center"/>
          </w:tcPr>
          <w:p w:rsidR="005E340D" w:rsidRPr="002A0D28" w:rsidRDefault="005E340D" w:rsidP="00480B8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469" w:type="dxa"/>
            <w:vMerge/>
            <w:vAlign w:val="center"/>
          </w:tcPr>
          <w:p w:rsidR="005E340D" w:rsidRPr="002A0D28" w:rsidRDefault="005E340D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581" w:type="dxa"/>
            <w:vMerge/>
            <w:vAlign w:val="center"/>
          </w:tcPr>
          <w:p w:rsidR="005E340D" w:rsidRPr="002A0D28" w:rsidRDefault="005E340D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E340D" w:rsidRPr="002A0D28" w:rsidTr="00097E74">
        <w:tc>
          <w:tcPr>
            <w:tcW w:w="2802" w:type="dxa"/>
          </w:tcPr>
          <w:p w:rsidR="005E340D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技術報告</w:t>
            </w:r>
          </w:p>
        </w:tc>
        <w:tc>
          <w:tcPr>
            <w:tcW w:w="1842" w:type="dxa"/>
            <w:vMerge/>
            <w:vAlign w:val="center"/>
          </w:tcPr>
          <w:p w:rsidR="005E340D" w:rsidRPr="002A0D28" w:rsidRDefault="005E340D" w:rsidP="00480B8B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469" w:type="dxa"/>
            <w:vMerge/>
            <w:vAlign w:val="center"/>
          </w:tcPr>
          <w:p w:rsidR="005E340D" w:rsidRPr="00480B8B" w:rsidRDefault="005E340D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581" w:type="dxa"/>
            <w:vMerge/>
            <w:vAlign w:val="center"/>
          </w:tcPr>
          <w:p w:rsidR="005E340D" w:rsidRPr="002A0D28" w:rsidRDefault="005E340D" w:rsidP="002A0D2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:rsidR="00984A7D" w:rsidRPr="002A0D28" w:rsidRDefault="00984A7D">
      <w:pPr>
        <w:widowControl/>
        <w:rPr>
          <w:rFonts w:asciiTheme="majorEastAsia" w:eastAsiaTheme="majorEastAsia" w:hAnsiTheme="majorEastAsia"/>
          <w:sz w:val="20"/>
          <w:szCs w:val="20"/>
        </w:rPr>
      </w:pPr>
    </w:p>
    <w:p w:rsidR="005F3233" w:rsidRDefault="00984A7D" w:rsidP="005F3233">
      <w:pPr>
        <w:rPr>
          <w:rFonts w:asciiTheme="majorEastAsia" w:eastAsiaTheme="majorEastAsia" w:hAnsiTheme="majorEastAsia"/>
          <w:b/>
          <w:sz w:val="20"/>
          <w:szCs w:val="20"/>
        </w:rPr>
      </w:pPr>
      <w:r w:rsidRPr="002A0D28">
        <w:rPr>
          <w:rFonts w:asciiTheme="majorEastAsia" w:eastAsiaTheme="majorEastAsia" w:hAnsiTheme="majorEastAsia" w:hint="eastAsia"/>
          <w:b/>
          <w:sz w:val="20"/>
          <w:szCs w:val="20"/>
        </w:rPr>
        <w:t>三、</w:t>
      </w:r>
      <w:r w:rsidR="005F3233" w:rsidRPr="002A0D28">
        <w:rPr>
          <w:rFonts w:asciiTheme="majorEastAsia" w:eastAsiaTheme="majorEastAsia" w:hAnsiTheme="majorEastAsia" w:hint="eastAsia"/>
          <w:b/>
          <w:sz w:val="20"/>
          <w:szCs w:val="20"/>
        </w:rPr>
        <w:t>教師升等評審</w:t>
      </w:r>
      <w:r w:rsidR="00A363BB" w:rsidRPr="002A0D28">
        <w:rPr>
          <w:rFonts w:asciiTheme="majorEastAsia" w:eastAsiaTheme="majorEastAsia" w:hAnsiTheme="majorEastAsia" w:hint="eastAsia"/>
          <w:b/>
          <w:sz w:val="20"/>
          <w:szCs w:val="20"/>
        </w:rPr>
        <w:t>內容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97"/>
        <w:gridCol w:w="2297"/>
        <w:gridCol w:w="2298"/>
      </w:tblGrid>
      <w:tr w:rsidR="005E340D" w:rsidRPr="002A0D28" w:rsidTr="003B7018">
        <w:trPr>
          <w:trHeight w:val="819"/>
        </w:trPr>
        <w:tc>
          <w:tcPr>
            <w:tcW w:w="2802" w:type="dxa"/>
            <w:tcBorders>
              <w:tl2br w:val="single" w:sz="4" w:space="0" w:color="auto"/>
            </w:tcBorders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　　　　 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229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2298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</w:tr>
      <w:tr w:rsidR="005E340D" w:rsidRPr="002A0D28" w:rsidTr="003B7018">
        <w:tc>
          <w:tcPr>
            <w:tcW w:w="2802" w:type="dxa"/>
          </w:tcPr>
          <w:p w:rsidR="005E340D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930106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學術著作</w:t>
            </w:r>
          </w:p>
          <w:p w:rsidR="005E340D" w:rsidRPr="0095656B" w:rsidRDefault="005E340D" w:rsidP="003B7018">
            <w:pPr>
              <w:rPr>
                <w:rFonts w:asciiTheme="majorEastAsia" w:eastAsiaTheme="majorEastAsia" w:hAnsiTheme="majorEastAsia"/>
                <w:color w:val="000000" w:themeColor="text1"/>
                <w:sz w:val="20"/>
                <w:szCs w:val="20"/>
                <w:u w:val="single"/>
              </w:rPr>
            </w:pPr>
            <w:r w:rsidRPr="0095656B">
              <w:rPr>
                <w:rFonts w:asciiTheme="majorEastAsia" w:eastAsiaTheme="majorEastAsia" w:hAnsiTheme="majorEastAsia" w:hint="eastAsia"/>
                <w:color w:val="000000" w:themeColor="text1"/>
                <w:sz w:val="20"/>
                <w:szCs w:val="20"/>
                <w:u w:val="single"/>
              </w:rPr>
              <w:t>其中學術著作升等者，應有5篇著作：</w:t>
            </w:r>
          </w:p>
          <w:p w:rsidR="005E340D" w:rsidRPr="00E505B7" w:rsidRDefault="005E340D" w:rsidP="003B7018">
            <w:pPr>
              <w:pStyle w:val="Standard"/>
              <w:widowControl/>
              <w:ind w:left="562" w:right="48" w:hangingChars="281" w:hanging="562"/>
              <w:jc w:val="both"/>
              <w:rPr>
                <w:rFonts w:ascii="標楷體" w:eastAsia="標楷體" w:hAnsi="標楷體" w:cs="華康標楷體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="標楷體" w:eastAsia="標楷體" w:hAnsi="標楷體" w:cs="華康標楷體" w:hint="eastAsia"/>
                <w:color w:val="FF0000"/>
                <w:sz w:val="20"/>
                <w:szCs w:val="20"/>
                <w:u w:val="single"/>
              </w:rPr>
              <w:t>（一）升等教授職級：代表作及至少</w:t>
            </w:r>
            <w:r>
              <w:rPr>
                <w:rFonts w:ascii="新細明體" w:hAnsi="新細明體" w:hint="eastAsia"/>
                <w:b/>
                <w:bCs/>
                <w:color w:val="0000FF"/>
                <w:sz w:val="20"/>
                <w:szCs w:val="20"/>
                <w:u w:val="single"/>
              </w:rPr>
              <w:t>3</w:t>
            </w:r>
            <w:r w:rsidRPr="00E505B7">
              <w:rPr>
                <w:rFonts w:ascii="標楷體" w:eastAsia="標楷體" w:hAnsi="標楷體" w:cs="華康標楷體" w:hint="eastAsia"/>
                <w:color w:val="FF0000"/>
                <w:sz w:val="20"/>
                <w:szCs w:val="20"/>
                <w:u w:val="single"/>
              </w:rPr>
              <w:t>篇參考作應為</w:t>
            </w:r>
            <w:r w:rsidR="00E34AFD"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「國立嘉義大學理工學院教師學術期刊之分級表」一級期刊之著作。</w:t>
            </w:r>
          </w:p>
          <w:p w:rsidR="005E340D" w:rsidRPr="002A0D28" w:rsidRDefault="005E340D" w:rsidP="003B7018">
            <w:pPr>
              <w:pStyle w:val="Standard"/>
              <w:widowControl/>
              <w:ind w:left="562" w:right="48" w:hangingChars="281" w:hanging="562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E505B7">
              <w:rPr>
                <w:rFonts w:ascii="標楷體" w:eastAsia="標楷體" w:hAnsi="標楷體" w:cs="華康標楷體" w:hint="eastAsia"/>
                <w:color w:val="FF0000"/>
                <w:sz w:val="20"/>
                <w:szCs w:val="20"/>
                <w:u w:val="single"/>
              </w:rPr>
              <w:t>（二）升等副教授以下職級（含）：代表作應為</w:t>
            </w:r>
            <w:r w:rsidR="00E34AFD"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「國立嘉義大學理工學院教師學術期刊之分級表」一級期刊，參考作應為「國立嘉義大學理工學院教師學術期刊</w:t>
            </w:r>
            <w:r w:rsidR="00E34AFD"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lastRenderedPageBreak/>
              <w:t>之分級表」三級（含）以上期刊之著作。</w:t>
            </w:r>
          </w:p>
        </w:tc>
        <w:tc>
          <w:tcPr>
            <w:tcW w:w="229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分為A1外審成績（占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5%）及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A2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非外審成績（占25%）二項。</w:t>
            </w:r>
          </w:p>
          <w:p w:rsidR="005E340D" w:rsidRPr="002A0D28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一、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外審成績：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學術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著作。</w:t>
            </w:r>
          </w:p>
          <w:p w:rsidR="005E340D" w:rsidRPr="002A0D28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二、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非外審成績：</w:t>
            </w:r>
            <w:r w:rsidRPr="00E505B7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「研究計畫獎助、產學合作及其他學術研究成果</w:t>
            </w:r>
            <w:r w:rsidRPr="005E60B3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</w:rPr>
              <w:t>」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：</w:t>
            </w:r>
            <w:r w:rsidRPr="005E60B3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分Aa及Ab二項，各占50%。</w:t>
            </w:r>
          </w:p>
        </w:tc>
        <w:tc>
          <w:tcPr>
            <w:tcW w:w="229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分為「專業服務」、「行政服務」、「輔導服務」、「綜合考評」等四項。</w:t>
            </w:r>
          </w:p>
        </w:tc>
      </w:tr>
      <w:tr w:rsidR="005E340D" w:rsidRPr="002A0D28" w:rsidTr="003B7018">
        <w:tc>
          <w:tcPr>
            <w:tcW w:w="2802" w:type="dxa"/>
          </w:tcPr>
          <w:p w:rsidR="005E340D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教學著作</w:t>
            </w:r>
          </w:p>
          <w:p w:rsidR="00E34AFD" w:rsidRPr="00F25040" w:rsidRDefault="00E34AFD" w:rsidP="00E34AFD">
            <w:pPr>
              <w:pStyle w:val="Standard"/>
              <w:widowControl/>
              <w:ind w:left="562" w:right="48" w:hangingChars="281" w:hanging="562"/>
              <w:jc w:val="both"/>
              <w:rPr>
                <w:rFonts w:ascii="Times New Roman" w:eastAsia="標楷體" w:hAnsi="Times New Roman" w:cs="華康標楷體"/>
                <w:color w:val="0000FF"/>
                <w:sz w:val="20"/>
                <w:szCs w:val="20"/>
                <w:u w:val="single"/>
              </w:rPr>
            </w:pP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（一）升等教授職級：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4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本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(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篇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)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。</w:t>
            </w:r>
          </w:p>
          <w:p w:rsidR="00E34AFD" w:rsidRPr="002A0D28" w:rsidRDefault="00E34AFD" w:rsidP="00E34AFD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（二）升等副教授以下職級：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3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本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(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篇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)</w:t>
            </w:r>
            <w:r w:rsidRPr="00F25040">
              <w:rPr>
                <w:rFonts w:ascii="Times New Roman" w:eastAsia="標楷體" w:hAnsi="Times New Roman" w:cs="華康標楷體" w:hint="eastAsia"/>
                <w:color w:val="0000FF"/>
                <w:sz w:val="20"/>
                <w:szCs w:val="20"/>
                <w:u w:val="single"/>
              </w:rPr>
              <w:t>。</w:t>
            </w:r>
          </w:p>
        </w:tc>
        <w:tc>
          <w:tcPr>
            <w:tcW w:w="229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「研究計畫獎助、產學合作及其他學術研究成果」：</w:t>
            </w:r>
            <w:r w:rsidRPr="005E60B3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分Aa（25%）及Ab（75%）二項。</w:t>
            </w:r>
          </w:p>
        </w:tc>
        <w:tc>
          <w:tcPr>
            <w:tcW w:w="229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B1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外審成績（占</w:t>
            </w: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</w:rPr>
              <w:t>75%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）及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B2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非外審成績（占</w:t>
            </w: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</w:rPr>
              <w:t>25%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）二項。</w:t>
            </w:r>
          </w:p>
          <w:p w:rsidR="005E340D" w:rsidRPr="002A0D28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一、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外審成績：教學之專門著作。</w:t>
            </w:r>
          </w:p>
          <w:p w:rsidR="005E340D" w:rsidRPr="002A0D28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二、</w:t>
            </w: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非外審成績：分為「教學績效」、「教學改進」、「課業輔導」、「綜合考評」等四項。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分為「專業服務」、「行政服務」、「輔導服務」、「綜合考評」等四項。</w:t>
            </w:r>
          </w:p>
        </w:tc>
      </w:tr>
      <w:tr w:rsidR="005E340D" w:rsidRPr="002A0D28" w:rsidTr="003B7018">
        <w:tc>
          <w:tcPr>
            <w:tcW w:w="2802" w:type="dxa"/>
          </w:tcPr>
          <w:p w:rsidR="005E340D" w:rsidRPr="00BE79C0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技術報告</w:t>
            </w:r>
          </w:p>
          <w:p w:rsidR="005E340D" w:rsidRPr="00BE79C0" w:rsidRDefault="005E340D" w:rsidP="003B7018">
            <w:pPr>
              <w:ind w:left="566" w:hangingChars="283" w:hanging="566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（一）升等教授：技術報告1篇，參考作2篇，至少2件發明專利及</w:t>
            </w:r>
            <w:proofErr w:type="gramStart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2件智財技</w:t>
            </w:r>
            <w:proofErr w:type="gramEnd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轉案者，</w:t>
            </w:r>
            <w:proofErr w:type="gramStart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且智財技</w:t>
            </w:r>
            <w:proofErr w:type="gramEnd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轉金額需累計達70萬元以上。</w:t>
            </w:r>
          </w:p>
          <w:p w:rsidR="005E340D" w:rsidRPr="00BE79C0" w:rsidRDefault="005E340D" w:rsidP="003B7018">
            <w:pPr>
              <w:ind w:left="566" w:hangingChars="283" w:hanging="566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（二）升等副教授以下：技術報告1篇，參考作1篇，至少2件發明專利及</w:t>
            </w:r>
            <w:proofErr w:type="gramStart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2件智財技</w:t>
            </w:r>
            <w:proofErr w:type="gramEnd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轉案者，</w:t>
            </w:r>
            <w:proofErr w:type="gramStart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且智財技</w:t>
            </w:r>
            <w:proofErr w:type="gramEnd"/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轉金額需累計達45萬元以上。</w:t>
            </w:r>
          </w:p>
          <w:p w:rsidR="005E340D" w:rsidRPr="00BE79C0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297" w:type="dxa"/>
          </w:tcPr>
          <w:p w:rsidR="005E340D" w:rsidRPr="00BE79C0" w:rsidRDefault="005E340D" w:rsidP="003B7018">
            <w:pPr>
              <w:pStyle w:val="aa"/>
              <w:ind w:leftChars="0" w:left="33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分為A1外審成績（占</w:t>
            </w:r>
            <w:r w:rsidRPr="00BE79C0">
              <w:rPr>
                <w:rFonts w:asciiTheme="majorEastAsia" w:eastAsiaTheme="majorEastAsia" w:hAnsiTheme="majorEastAsia" w:cs="Times New Roman" w:hint="eastAsia"/>
                <w:b/>
                <w:color w:val="0000FF"/>
                <w:sz w:val="20"/>
                <w:szCs w:val="20"/>
                <w:u w:val="single"/>
              </w:rPr>
              <w:t>75%</w:t>
            </w: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）及A2.非外審成績（占</w:t>
            </w:r>
            <w:r w:rsidRPr="00BE79C0">
              <w:rPr>
                <w:rFonts w:asciiTheme="majorEastAsia" w:eastAsiaTheme="majorEastAsia" w:hAnsiTheme="majorEastAsia" w:cs="Times New Roman" w:hint="eastAsia"/>
                <w:b/>
                <w:color w:val="0000FF"/>
                <w:sz w:val="20"/>
                <w:szCs w:val="20"/>
                <w:u w:val="single"/>
              </w:rPr>
              <w:t>25%</w:t>
            </w: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）二項。</w:t>
            </w:r>
          </w:p>
          <w:p w:rsidR="005E340D" w:rsidRPr="00BE79C0" w:rsidRDefault="005E340D" w:rsidP="003B7018">
            <w:pPr>
              <w:ind w:leftChars="59" w:left="458" w:hangingChars="158" w:hanging="316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一、外審成績：技術報告。</w:t>
            </w:r>
          </w:p>
          <w:p w:rsidR="005E340D" w:rsidRPr="00BE79C0" w:rsidRDefault="005E340D" w:rsidP="003B7018">
            <w:pPr>
              <w:ind w:left="462" w:hangingChars="231" w:hanging="462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二、非外審成績：「研究計畫獎助、產學合作及其他學術研究成果」：分</w:t>
            </w:r>
            <w:r w:rsidRPr="00BE79C0"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  <w:t>Aa</w:t>
            </w: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及</w:t>
            </w:r>
            <w:r w:rsidRPr="00BE79C0"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  <w:t>Ab</w:t>
            </w: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二項，各占50%。</w:t>
            </w:r>
          </w:p>
        </w:tc>
        <w:tc>
          <w:tcPr>
            <w:tcW w:w="2297" w:type="dxa"/>
          </w:tcPr>
          <w:p w:rsidR="005E340D" w:rsidRPr="00BE79C0" w:rsidRDefault="005E340D" w:rsidP="003B7018">
            <w:pPr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分為「教學績效」、「教學改進」、「課業輔導」、「綜合考評」等四項。</w:t>
            </w:r>
          </w:p>
        </w:tc>
        <w:tc>
          <w:tcPr>
            <w:tcW w:w="2298" w:type="dxa"/>
          </w:tcPr>
          <w:p w:rsidR="005E340D" w:rsidRPr="00BE79C0" w:rsidRDefault="005E340D" w:rsidP="003B7018">
            <w:pPr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BE79C0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分為「專業服務」、「行政服務」、「輔導服務」、「綜合考評」等四項。</w:t>
            </w:r>
          </w:p>
        </w:tc>
      </w:tr>
    </w:tbl>
    <w:p w:rsidR="005F3233" w:rsidRDefault="005F3233"/>
    <w:p w:rsidR="005F3233" w:rsidRDefault="00697322" w:rsidP="007C5B4B">
      <w:pPr>
        <w:rPr>
          <w:rFonts w:asciiTheme="majorEastAsia" w:eastAsiaTheme="majorEastAsia" w:hAnsiTheme="majorEastAsia"/>
          <w:b/>
          <w:sz w:val="20"/>
          <w:szCs w:val="20"/>
        </w:rPr>
      </w:pPr>
      <w:r>
        <w:rPr>
          <w:rFonts w:asciiTheme="majorEastAsia" w:eastAsiaTheme="majorEastAsia" w:hAnsiTheme="majorEastAsia" w:hint="eastAsia"/>
          <w:b/>
          <w:sz w:val="20"/>
          <w:szCs w:val="20"/>
        </w:rPr>
        <w:t>四</w:t>
      </w:r>
      <w:r w:rsidR="007C5B4B" w:rsidRPr="002A0D28">
        <w:rPr>
          <w:rFonts w:asciiTheme="majorEastAsia" w:eastAsiaTheme="majorEastAsia" w:hAnsiTheme="majorEastAsia" w:hint="eastAsia"/>
          <w:b/>
          <w:sz w:val="20"/>
          <w:szCs w:val="20"/>
        </w:rPr>
        <w:t>、教師升等</w:t>
      </w:r>
      <w:r w:rsidR="007C5B4B">
        <w:rPr>
          <w:rFonts w:asciiTheme="majorEastAsia" w:eastAsiaTheme="majorEastAsia" w:hAnsiTheme="majorEastAsia" w:hint="eastAsia"/>
          <w:b/>
          <w:sz w:val="20"/>
          <w:szCs w:val="20"/>
        </w:rPr>
        <w:t>成績通過標準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268"/>
        <w:gridCol w:w="1985"/>
        <w:gridCol w:w="1887"/>
        <w:gridCol w:w="1763"/>
      </w:tblGrid>
      <w:tr w:rsidR="005E340D" w:rsidRPr="002A0D28" w:rsidTr="003B7018">
        <w:trPr>
          <w:trHeight w:val="819"/>
        </w:trPr>
        <w:tc>
          <w:tcPr>
            <w:tcW w:w="1951" w:type="dxa"/>
            <w:tcBorders>
              <w:tl2br w:val="single" w:sz="4" w:space="0" w:color="auto"/>
            </w:tcBorders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 </w:t>
            </w: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升等評審項目</w:t>
            </w:r>
          </w:p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升等類型</w:t>
            </w:r>
          </w:p>
        </w:tc>
        <w:tc>
          <w:tcPr>
            <w:tcW w:w="2268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A.研究</w:t>
            </w:r>
          </w:p>
        </w:tc>
        <w:tc>
          <w:tcPr>
            <w:tcW w:w="1985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B.教學</w:t>
            </w:r>
          </w:p>
        </w:tc>
        <w:tc>
          <w:tcPr>
            <w:tcW w:w="1887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2A0D28">
              <w:rPr>
                <w:rFonts w:asciiTheme="majorEastAsia" w:eastAsiaTheme="majorEastAsia" w:hAnsiTheme="majorEastAsia" w:hint="eastAsia"/>
                <w:sz w:val="20"/>
                <w:szCs w:val="20"/>
              </w:rPr>
              <w:t>C.服務</w:t>
            </w:r>
          </w:p>
        </w:tc>
        <w:tc>
          <w:tcPr>
            <w:tcW w:w="1763" w:type="dxa"/>
            <w:vAlign w:val="center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總成績</w:t>
            </w:r>
          </w:p>
        </w:tc>
      </w:tr>
      <w:tr w:rsidR="005E340D" w:rsidRPr="002A0D28" w:rsidTr="003B7018">
        <w:tc>
          <w:tcPr>
            <w:tcW w:w="1951" w:type="dxa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E79C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學術著作</w:t>
            </w:r>
          </w:p>
        </w:tc>
        <w:tc>
          <w:tcPr>
            <w:tcW w:w="2268" w:type="dxa"/>
          </w:tcPr>
          <w:p w:rsidR="005E340D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1.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：</w:t>
            </w:r>
          </w:p>
          <w:p w:rsidR="005E340D" w:rsidRDefault="005E340D" w:rsidP="003B7018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0543A3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送請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3</w:t>
            </w:r>
            <w:r w:rsidRPr="000543A3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位校外學者專家審查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，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至少須有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2名審查人評分達70分以上且全部審查成績平均須達70分以上，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惟升等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教授者，至少須有2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名審查人評分達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75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分以上（含），且全部審查成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績平均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須達75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分以上。</w:t>
            </w:r>
          </w:p>
          <w:p w:rsidR="005E340D" w:rsidRPr="002A0D28" w:rsidRDefault="005E340D" w:rsidP="003B7018">
            <w:pPr>
              <w:ind w:leftChars="24" w:left="176" w:hangingChars="59" w:hanging="118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385DB2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2.外審成績及非外審成績合計達70分以上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，</w:t>
            </w:r>
            <w:proofErr w:type="gramStart"/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惟升等</w:t>
            </w:r>
            <w:proofErr w:type="gramEnd"/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為教授者，應達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75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分以上。</w:t>
            </w:r>
          </w:p>
        </w:tc>
        <w:tc>
          <w:tcPr>
            <w:tcW w:w="1985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lastRenderedPageBreak/>
              <w:t>本項成績達70分以上。</w:t>
            </w:r>
          </w:p>
        </w:tc>
        <w:tc>
          <w:tcPr>
            <w:tcW w:w="188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763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達70分以上</w:t>
            </w:r>
            <w:r w:rsidRPr="00697322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（計至小數點以下第一位，以下四捨五入）</w:t>
            </w:r>
          </w:p>
        </w:tc>
      </w:tr>
      <w:tr w:rsidR="005E340D" w:rsidRPr="002A0D28" w:rsidTr="003B7018">
        <w:tc>
          <w:tcPr>
            <w:tcW w:w="1951" w:type="dxa"/>
          </w:tcPr>
          <w:p w:rsidR="005E340D" w:rsidRPr="002A0D28" w:rsidRDefault="005E340D" w:rsidP="003B7018">
            <w:pPr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lastRenderedPageBreak/>
              <w:t>教學著作</w:t>
            </w:r>
          </w:p>
        </w:tc>
        <w:tc>
          <w:tcPr>
            <w:tcW w:w="2268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985" w:type="dxa"/>
          </w:tcPr>
          <w:p w:rsidR="005E340D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1.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外審成績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：</w:t>
            </w:r>
          </w:p>
          <w:p w:rsidR="005E340D" w:rsidRDefault="005E340D" w:rsidP="003B7018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送請3位審查人審查，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至少須有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2名審查人評分達70分以上且全部審查成績平均須達70分以上，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惟升等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教授者，至少須有2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名審查人評分達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75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分以上（含），且全部審查成</w:t>
            </w: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績平均須達75</w:t>
            </w:r>
            <w:r w:rsidRPr="00B51860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分以上。</w:t>
            </w:r>
          </w:p>
          <w:p w:rsidR="005E340D" w:rsidRPr="00385DB2" w:rsidRDefault="005E340D" w:rsidP="003B7018">
            <w:pPr>
              <w:ind w:leftChars="-11" w:left="176" w:hangingChars="101" w:hanging="202"/>
              <w:jc w:val="both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 w:rsidRPr="00385DB2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2.外審成績及非外審成績合計達70分以上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，</w:t>
            </w:r>
            <w:proofErr w:type="gramStart"/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惟升等</w:t>
            </w:r>
            <w:proofErr w:type="gramEnd"/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為教授者，應達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75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分以上。</w:t>
            </w:r>
          </w:p>
        </w:tc>
        <w:tc>
          <w:tcPr>
            <w:tcW w:w="1887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本項成績達70分以上。</w:t>
            </w:r>
          </w:p>
        </w:tc>
        <w:tc>
          <w:tcPr>
            <w:tcW w:w="1763" w:type="dxa"/>
          </w:tcPr>
          <w:p w:rsidR="005E340D" w:rsidRPr="002A0D28" w:rsidRDefault="005E340D" w:rsidP="003B7018">
            <w:pPr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達70分以上</w:t>
            </w:r>
            <w:r w:rsidRPr="00697322">
              <w:rPr>
                <w:rFonts w:asciiTheme="majorEastAsia" w:eastAsiaTheme="majorEastAsia" w:hAnsiTheme="majorEastAsia" w:cs="Times New Roman" w:hint="eastAsia"/>
                <w:sz w:val="20"/>
                <w:szCs w:val="20"/>
              </w:rPr>
              <w:t>（計至小數點以下第一位，以下四捨五入）</w:t>
            </w:r>
          </w:p>
        </w:tc>
      </w:tr>
      <w:tr w:rsidR="005E340D" w:rsidRPr="002A0D28" w:rsidTr="003B7018">
        <w:tc>
          <w:tcPr>
            <w:tcW w:w="1951" w:type="dxa"/>
          </w:tcPr>
          <w:p w:rsidR="005E340D" w:rsidRPr="00E505B7" w:rsidRDefault="005E340D" w:rsidP="003B7018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  <w:u w:val="single"/>
              </w:rPr>
              <w:t>技術報告</w:t>
            </w:r>
          </w:p>
        </w:tc>
        <w:tc>
          <w:tcPr>
            <w:tcW w:w="2268" w:type="dxa"/>
          </w:tcPr>
          <w:p w:rsidR="005E340D" w:rsidRPr="00E505B7" w:rsidRDefault="005E340D" w:rsidP="003B7018">
            <w:pPr>
              <w:ind w:left="400" w:hangingChars="200" w:hanging="400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1.外審成績：</w:t>
            </w:r>
          </w:p>
          <w:p w:rsidR="005E340D" w:rsidRPr="00E505B7" w:rsidRDefault="005E340D" w:rsidP="003B7018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送請3位校外學者專家審查，至少須有2名審查人評分達70分以上且全部審查成績平均須達70分以上，</w:t>
            </w:r>
            <w:proofErr w:type="gramStart"/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惟升等</w:t>
            </w:r>
            <w:proofErr w:type="gramEnd"/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教授者，至少須有2名審查人評分達75分以上，且全部審查成績平均須達75分以上。</w:t>
            </w:r>
          </w:p>
          <w:p w:rsidR="005E340D" w:rsidRPr="00E505B7" w:rsidRDefault="005E340D" w:rsidP="003B7018">
            <w:pPr>
              <w:ind w:leftChars="73" w:left="175"/>
              <w:jc w:val="both"/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2.外審成績及非外審成績合計達70分以上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，惟升等為教授者，應達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75</w:t>
            </w:r>
            <w:r w:rsidR="00E34AFD" w:rsidRPr="00F851F4">
              <w:rPr>
                <w:rFonts w:ascii="Times New Roman" w:eastAsia="標楷體" w:hAnsi="Times New Roman" w:cs="Times New Roman" w:hint="eastAsia"/>
                <w:color w:val="0000FF"/>
                <w:sz w:val="20"/>
                <w:szCs w:val="20"/>
                <w:u w:val="single"/>
              </w:rPr>
              <w:t>分以上。</w:t>
            </w:r>
          </w:p>
        </w:tc>
        <w:tc>
          <w:tcPr>
            <w:tcW w:w="1985" w:type="dxa"/>
          </w:tcPr>
          <w:p w:rsidR="005E340D" w:rsidRPr="00E505B7" w:rsidRDefault="005E340D" w:rsidP="003B7018">
            <w:pPr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本項成績達70分以上。</w:t>
            </w:r>
          </w:p>
        </w:tc>
        <w:tc>
          <w:tcPr>
            <w:tcW w:w="1887" w:type="dxa"/>
          </w:tcPr>
          <w:p w:rsidR="005E340D" w:rsidRPr="00E505B7" w:rsidRDefault="005E340D" w:rsidP="003B7018">
            <w:pPr>
              <w:rPr>
                <w:rFonts w:asciiTheme="majorEastAsia" w:eastAsiaTheme="majorEastAsia" w:hAnsiTheme="majorEastAsia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本項成績達70分以上。</w:t>
            </w:r>
          </w:p>
        </w:tc>
        <w:tc>
          <w:tcPr>
            <w:tcW w:w="1763" w:type="dxa"/>
          </w:tcPr>
          <w:p w:rsidR="005E340D" w:rsidRPr="00E505B7" w:rsidRDefault="005E340D" w:rsidP="003B7018">
            <w:pPr>
              <w:rPr>
                <w:rFonts w:asciiTheme="majorEastAsia" w:eastAsiaTheme="majorEastAsia" w:hAnsiTheme="majorEastAsia" w:cs="Times New Roman"/>
                <w:color w:val="FF0000"/>
                <w:sz w:val="20"/>
                <w:szCs w:val="20"/>
                <w:u w:val="single"/>
              </w:rPr>
            </w:pPr>
            <w:r w:rsidRPr="00E505B7">
              <w:rPr>
                <w:rFonts w:asciiTheme="majorEastAsia" w:eastAsiaTheme="majorEastAsia" w:hAnsiTheme="majorEastAsia" w:cs="Times New Roman" w:hint="eastAsia"/>
                <w:color w:val="FF0000"/>
                <w:sz w:val="20"/>
                <w:szCs w:val="20"/>
                <w:u w:val="single"/>
              </w:rPr>
              <w:t>達70分以上（計至小數點以下第一位，以下四捨五入）</w:t>
            </w:r>
          </w:p>
        </w:tc>
      </w:tr>
    </w:tbl>
    <w:p w:rsidR="005E340D" w:rsidRPr="005E340D" w:rsidRDefault="005E340D" w:rsidP="007C5B4B">
      <w:pPr>
        <w:rPr>
          <w:rFonts w:asciiTheme="majorEastAsia" w:eastAsiaTheme="majorEastAsia" w:hAnsiTheme="majorEastAsia"/>
          <w:b/>
          <w:sz w:val="20"/>
          <w:szCs w:val="20"/>
        </w:rPr>
      </w:pPr>
    </w:p>
    <w:p w:rsidR="007C5B4B" w:rsidRPr="007C5B4B" w:rsidRDefault="007C5B4B" w:rsidP="007C5B4B"/>
    <w:sectPr w:rsidR="007C5B4B" w:rsidRPr="007C5B4B" w:rsidSect="00532F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A44" w:rsidRDefault="00A31A44" w:rsidP="0018167E">
      <w:r>
        <w:separator/>
      </w:r>
    </w:p>
  </w:endnote>
  <w:endnote w:type="continuationSeparator" w:id="0">
    <w:p w:rsidR="00A31A44" w:rsidRDefault="00A31A44" w:rsidP="0018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panose1 w:val="03000509000000000000"/>
    <w:charset w:val="88"/>
    <w:family w:val="script"/>
    <w:pitch w:val="fixed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A44" w:rsidRDefault="00A31A44" w:rsidP="0018167E">
      <w:r>
        <w:separator/>
      </w:r>
    </w:p>
  </w:footnote>
  <w:footnote w:type="continuationSeparator" w:id="0">
    <w:p w:rsidR="00A31A44" w:rsidRDefault="00A31A44" w:rsidP="00181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B12"/>
    <w:rsid w:val="0000138B"/>
    <w:rsid w:val="00001934"/>
    <w:rsid w:val="00003764"/>
    <w:rsid w:val="000066A6"/>
    <w:rsid w:val="000068AC"/>
    <w:rsid w:val="000211A9"/>
    <w:rsid w:val="00023D8C"/>
    <w:rsid w:val="00025A98"/>
    <w:rsid w:val="00042BD6"/>
    <w:rsid w:val="0004771D"/>
    <w:rsid w:val="000535EC"/>
    <w:rsid w:val="000543A3"/>
    <w:rsid w:val="00060272"/>
    <w:rsid w:val="0006646A"/>
    <w:rsid w:val="00081937"/>
    <w:rsid w:val="0008203E"/>
    <w:rsid w:val="00082C04"/>
    <w:rsid w:val="00091ED3"/>
    <w:rsid w:val="00097E74"/>
    <w:rsid w:val="000A22F7"/>
    <w:rsid w:val="000A7007"/>
    <w:rsid w:val="000B68E1"/>
    <w:rsid w:val="000D1E02"/>
    <w:rsid w:val="000E285A"/>
    <w:rsid w:val="000E7F2F"/>
    <w:rsid w:val="000F2315"/>
    <w:rsid w:val="000F3E85"/>
    <w:rsid w:val="000F429A"/>
    <w:rsid w:val="000F6DC2"/>
    <w:rsid w:val="0010000C"/>
    <w:rsid w:val="0011762B"/>
    <w:rsid w:val="001223A7"/>
    <w:rsid w:val="00123C86"/>
    <w:rsid w:val="00135FAE"/>
    <w:rsid w:val="00144BD3"/>
    <w:rsid w:val="00146736"/>
    <w:rsid w:val="0015131C"/>
    <w:rsid w:val="0015279A"/>
    <w:rsid w:val="001529AA"/>
    <w:rsid w:val="0015629B"/>
    <w:rsid w:val="0016736A"/>
    <w:rsid w:val="0017732C"/>
    <w:rsid w:val="0018167E"/>
    <w:rsid w:val="00183702"/>
    <w:rsid w:val="0018605E"/>
    <w:rsid w:val="00192F60"/>
    <w:rsid w:val="00194735"/>
    <w:rsid w:val="00195EBD"/>
    <w:rsid w:val="001A1A29"/>
    <w:rsid w:val="001A7FCC"/>
    <w:rsid w:val="001B1787"/>
    <w:rsid w:val="001B3637"/>
    <w:rsid w:val="001C31C1"/>
    <w:rsid w:val="001C37B2"/>
    <w:rsid w:val="001C4AAC"/>
    <w:rsid w:val="001E56EF"/>
    <w:rsid w:val="001F36BE"/>
    <w:rsid w:val="001F5072"/>
    <w:rsid w:val="001F52BF"/>
    <w:rsid w:val="001F5489"/>
    <w:rsid w:val="00202AF6"/>
    <w:rsid w:val="00202BD8"/>
    <w:rsid w:val="00204F46"/>
    <w:rsid w:val="00217B12"/>
    <w:rsid w:val="00222302"/>
    <w:rsid w:val="0022437E"/>
    <w:rsid w:val="0022619C"/>
    <w:rsid w:val="002277A6"/>
    <w:rsid w:val="00227A3A"/>
    <w:rsid w:val="00233C0E"/>
    <w:rsid w:val="00243218"/>
    <w:rsid w:val="00256987"/>
    <w:rsid w:val="002651C3"/>
    <w:rsid w:val="00266FC8"/>
    <w:rsid w:val="00271274"/>
    <w:rsid w:val="00272720"/>
    <w:rsid w:val="002764B2"/>
    <w:rsid w:val="00285CA6"/>
    <w:rsid w:val="002923A0"/>
    <w:rsid w:val="002970AC"/>
    <w:rsid w:val="002A0231"/>
    <w:rsid w:val="002A0D28"/>
    <w:rsid w:val="002B47DF"/>
    <w:rsid w:val="002B4B47"/>
    <w:rsid w:val="002B5A7C"/>
    <w:rsid w:val="002C0717"/>
    <w:rsid w:val="002C7B42"/>
    <w:rsid w:val="002D357A"/>
    <w:rsid w:val="002D6C6F"/>
    <w:rsid w:val="002E7DA9"/>
    <w:rsid w:val="002F0EED"/>
    <w:rsid w:val="002F2A4F"/>
    <w:rsid w:val="002F67A2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278D6"/>
    <w:rsid w:val="00334307"/>
    <w:rsid w:val="003364D1"/>
    <w:rsid w:val="0034376D"/>
    <w:rsid w:val="003438D7"/>
    <w:rsid w:val="00345E3E"/>
    <w:rsid w:val="00346BB4"/>
    <w:rsid w:val="00355442"/>
    <w:rsid w:val="00361BEE"/>
    <w:rsid w:val="003678FD"/>
    <w:rsid w:val="00374566"/>
    <w:rsid w:val="00385DB2"/>
    <w:rsid w:val="0039018C"/>
    <w:rsid w:val="0039052D"/>
    <w:rsid w:val="003943E2"/>
    <w:rsid w:val="00397A6C"/>
    <w:rsid w:val="00397C8B"/>
    <w:rsid w:val="003A2C92"/>
    <w:rsid w:val="003A5712"/>
    <w:rsid w:val="003B2E1B"/>
    <w:rsid w:val="003B7BC2"/>
    <w:rsid w:val="003C3441"/>
    <w:rsid w:val="003D2B1A"/>
    <w:rsid w:val="003D440A"/>
    <w:rsid w:val="003D6DBC"/>
    <w:rsid w:val="003E7D2F"/>
    <w:rsid w:val="003F3C08"/>
    <w:rsid w:val="003F5980"/>
    <w:rsid w:val="003F79D6"/>
    <w:rsid w:val="0040510C"/>
    <w:rsid w:val="00406AC3"/>
    <w:rsid w:val="00417907"/>
    <w:rsid w:val="00417A13"/>
    <w:rsid w:val="00422E0A"/>
    <w:rsid w:val="00426359"/>
    <w:rsid w:val="0043331B"/>
    <w:rsid w:val="00434942"/>
    <w:rsid w:val="004356B2"/>
    <w:rsid w:val="00435DED"/>
    <w:rsid w:val="00451647"/>
    <w:rsid w:val="004565B3"/>
    <w:rsid w:val="00461FEC"/>
    <w:rsid w:val="00466628"/>
    <w:rsid w:val="00480B8B"/>
    <w:rsid w:val="00484552"/>
    <w:rsid w:val="00493F64"/>
    <w:rsid w:val="004A183C"/>
    <w:rsid w:val="004A4AAB"/>
    <w:rsid w:val="004A7351"/>
    <w:rsid w:val="004B56C5"/>
    <w:rsid w:val="004C099A"/>
    <w:rsid w:val="004C38D8"/>
    <w:rsid w:val="004C56F4"/>
    <w:rsid w:val="004E2D33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5450"/>
    <w:rsid w:val="00547E57"/>
    <w:rsid w:val="005652E6"/>
    <w:rsid w:val="005666D0"/>
    <w:rsid w:val="00567212"/>
    <w:rsid w:val="00572225"/>
    <w:rsid w:val="00572AEA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5FFE"/>
    <w:rsid w:val="005A5727"/>
    <w:rsid w:val="005A61C5"/>
    <w:rsid w:val="005A774F"/>
    <w:rsid w:val="005A7E61"/>
    <w:rsid w:val="005B045B"/>
    <w:rsid w:val="005B0EBA"/>
    <w:rsid w:val="005B4468"/>
    <w:rsid w:val="005C1A35"/>
    <w:rsid w:val="005C4664"/>
    <w:rsid w:val="005C659D"/>
    <w:rsid w:val="005C66D9"/>
    <w:rsid w:val="005C6F5C"/>
    <w:rsid w:val="005D3124"/>
    <w:rsid w:val="005D3D15"/>
    <w:rsid w:val="005E340D"/>
    <w:rsid w:val="005E7972"/>
    <w:rsid w:val="005E7D23"/>
    <w:rsid w:val="005F06FC"/>
    <w:rsid w:val="005F2804"/>
    <w:rsid w:val="005F3233"/>
    <w:rsid w:val="005F3FF6"/>
    <w:rsid w:val="005F4695"/>
    <w:rsid w:val="00601DC7"/>
    <w:rsid w:val="00612F13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710EA"/>
    <w:rsid w:val="00674396"/>
    <w:rsid w:val="00676FAB"/>
    <w:rsid w:val="00681308"/>
    <w:rsid w:val="00681554"/>
    <w:rsid w:val="00682016"/>
    <w:rsid w:val="00687F89"/>
    <w:rsid w:val="00697322"/>
    <w:rsid w:val="006A00F5"/>
    <w:rsid w:val="006B12CF"/>
    <w:rsid w:val="006B2586"/>
    <w:rsid w:val="006B3AF2"/>
    <w:rsid w:val="006C3BE4"/>
    <w:rsid w:val="006C4E52"/>
    <w:rsid w:val="006C5F55"/>
    <w:rsid w:val="006D3045"/>
    <w:rsid w:val="006D33F6"/>
    <w:rsid w:val="006D4BF9"/>
    <w:rsid w:val="006E4698"/>
    <w:rsid w:val="006E51DC"/>
    <w:rsid w:val="00702D47"/>
    <w:rsid w:val="0070485E"/>
    <w:rsid w:val="007050D3"/>
    <w:rsid w:val="00706A10"/>
    <w:rsid w:val="00712857"/>
    <w:rsid w:val="00722CF4"/>
    <w:rsid w:val="00723A6C"/>
    <w:rsid w:val="007254D1"/>
    <w:rsid w:val="007362B3"/>
    <w:rsid w:val="007422AE"/>
    <w:rsid w:val="0075069F"/>
    <w:rsid w:val="007530C0"/>
    <w:rsid w:val="0075323D"/>
    <w:rsid w:val="00753D24"/>
    <w:rsid w:val="007546D7"/>
    <w:rsid w:val="007549BC"/>
    <w:rsid w:val="00757513"/>
    <w:rsid w:val="00762375"/>
    <w:rsid w:val="00762588"/>
    <w:rsid w:val="007633E9"/>
    <w:rsid w:val="0076435D"/>
    <w:rsid w:val="00775327"/>
    <w:rsid w:val="00785694"/>
    <w:rsid w:val="007873D5"/>
    <w:rsid w:val="00794C6F"/>
    <w:rsid w:val="007A3F27"/>
    <w:rsid w:val="007A49BF"/>
    <w:rsid w:val="007B012D"/>
    <w:rsid w:val="007B24A3"/>
    <w:rsid w:val="007C1C55"/>
    <w:rsid w:val="007C4627"/>
    <w:rsid w:val="007C5B4B"/>
    <w:rsid w:val="007C6088"/>
    <w:rsid w:val="007C73A0"/>
    <w:rsid w:val="007D1E74"/>
    <w:rsid w:val="007D262E"/>
    <w:rsid w:val="007D3FA4"/>
    <w:rsid w:val="007E264D"/>
    <w:rsid w:val="007E6D0A"/>
    <w:rsid w:val="007F5AD2"/>
    <w:rsid w:val="00805EE9"/>
    <w:rsid w:val="00806D70"/>
    <w:rsid w:val="008176CF"/>
    <w:rsid w:val="0082290C"/>
    <w:rsid w:val="008264EF"/>
    <w:rsid w:val="00831EFC"/>
    <w:rsid w:val="00851634"/>
    <w:rsid w:val="00851CDF"/>
    <w:rsid w:val="0085522A"/>
    <w:rsid w:val="00856189"/>
    <w:rsid w:val="00860F8C"/>
    <w:rsid w:val="0087382A"/>
    <w:rsid w:val="00874628"/>
    <w:rsid w:val="008758FF"/>
    <w:rsid w:val="00880D60"/>
    <w:rsid w:val="008833BB"/>
    <w:rsid w:val="00884286"/>
    <w:rsid w:val="008A2CAF"/>
    <w:rsid w:val="008A643E"/>
    <w:rsid w:val="008B0205"/>
    <w:rsid w:val="008B153C"/>
    <w:rsid w:val="008B3312"/>
    <w:rsid w:val="008B3932"/>
    <w:rsid w:val="008B6E30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3107B"/>
    <w:rsid w:val="00931264"/>
    <w:rsid w:val="00931EC2"/>
    <w:rsid w:val="00941C5A"/>
    <w:rsid w:val="00945D5A"/>
    <w:rsid w:val="00946E8A"/>
    <w:rsid w:val="0095243C"/>
    <w:rsid w:val="009524A3"/>
    <w:rsid w:val="00956715"/>
    <w:rsid w:val="00960B6B"/>
    <w:rsid w:val="00971A0D"/>
    <w:rsid w:val="00972556"/>
    <w:rsid w:val="00974E49"/>
    <w:rsid w:val="00974F42"/>
    <w:rsid w:val="00977E2A"/>
    <w:rsid w:val="00984A7D"/>
    <w:rsid w:val="009873C6"/>
    <w:rsid w:val="0099216D"/>
    <w:rsid w:val="00992BCE"/>
    <w:rsid w:val="009A6B33"/>
    <w:rsid w:val="009A7D1A"/>
    <w:rsid w:val="009B75C8"/>
    <w:rsid w:val="009C7C93"/>
    <w:rsid w:val="009D1FE0"/>
    <w:rsid w:val="009D7D56"/>
    <w:rsid w:val="009E2314"/>
    <w:rsid w:val="009E2C17"/>
    <w:rsid w:val="009E6766"/>
    <w:rsid w:val="009F6080"/>
    <w:rsid w:val="009F7492"/>
    <w:rsid w:val="00A00313"/>
    <w:rsid w:val="00A071CA"/>
    <w:rsid w:val="00A17440"/>
    <w:rsid w:val="00A179F9"/>
    <w:rsid w:val="00A2086D"/>
    <w:rsid w:val="00A23BB9"/>
    <w:rsid w:val="00A279B9"/>
    <w:rsid w:val="00A31A44"/>
    <w:rsid w:val="00A363BB"/>
    <w:rsid w:val="00A632A6"/>
    <w:rsid w:val="00A63C39"/>
    <w:rsid w:val="00A6422C"/>
    <w:rsid w:val="00A65472"/>
    <w:rsid w:val="00A65C0B"/>
    <w:rsid w:val="00A67564"/>
    <w:rsid w:val="00A82D4D"/>
    <w:rsid w:val="00A84403"/>
    <w:rsid w:val="00A84DFB"/>
    <w:rsid w:val="00A87684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D1DC3"/>
    <w:rsid w:val="00AD7252"/>
    <w:rsid w:val="00AE1E6D"/>
    <w:rsid w:val="00AE3E1E"/>
    <w:rsid w:val="00AE4024"/>
    <w:rsid w:val="00AE5971"/>
    <w:rsid w:val="00AE5E55"/>
    <w:rsid w:val="00AE6643"/>
    <w:rsid w:val="00AF3D95"/>
    <w:rsid w:val="00AF5E7E"/>
    <w:rsid w:val="00B00498"/>
    <w:rsid w:val="00B00A03"/>
    <w:rsid w:val="00B01F7F"/>
    <w:rsid w:val="00B020B9"/>
    <w:rsid w:val="00B02B5D"/>
    <w:rsid w:val="00B06B51"/>
    <w:rsid w:val="00B07917"/>
    <w:rsid w:val="00B07B4B"/>
    <w:rsid w:val="00B12394"/>
    <w:rsid w:val="00B12E38"/>
    <w:rsid w:val="00B179DC"/>
    <w:rsid w:val="00B23F27"/>
    <w:rsid w:val="00B30CDC"/>
    <w:rsid w:val="00B31D5A"/>
    <w:rsid w:val="00B32312"/>
    <w:rsid w:val="00B32877"/>
    <w:rsid w:val="00B515C3"/>
    <w:rsid w:val="00B51860"/>
    <w:rsid w:val="00B54D81"/>
    <w:rsid w:val="00B54F77"/>
    <w:rsid w:val="00B64C98"/>
    <w:rsid w:val="00B65F4A"/>
    <w:rsid w:val="00B6641C"/>
    <w:rsid w:val="00B72C33"/>
    <w:rsid w:val="00B82605"/>
    <w:rsid w:val="00B83D10"/>
    <w:rsid w:val="00B8415E"/>
    <w:rsid w:val="00B84924"/>
    <w:rsid w:val="00B928B7"/>
    <w:rsid w:val="00B95ABC"/>
    <w:rsid w:val="00BA1F86"/>
    <w:rsid w:val="00BA3CEF"/>
    <w:rsid w:val="00BA4C77"/>
    <w:rsid w:val="00BB4148"/>
    <w:rsid w:val="00BC0131"/>
    <w:rsid w:val="00BC1438"/>
    <w:rsid w:val="00BE0FC6"/>
    <w:rsid w:val="00BE6BFE"/>
    <w:rsid w:val="00BF053F"/>
    <w:rsid w:val="00BF0778"/>
    <w:rsid w:val="00BF199B"/>
    <w:rsid w:val="00BF366D"/>
    <w:rsid w:val="00BF3AD3"/>
    <w:rsid w:val="00BF3F00"/>
    <w:rsid w:val="00BF78A6"/>
    <w:rsid w:val="00C030A3"/>
    <w:rsid w:val="00C05C00"/>
    <w:rsid w:val="00C10CEB"/>
    <w:rsid w:val="00C10EC8"/>
    <w:rsid w:val="00C13FFF"/>
    <w:rsid w:val="00C219FF"/>
    <w:rsid w:val="00C23A66"/>
    <w:rsid w:val="00C32BA3"/>
    <w:rsid w:val="00C33996"/>
    <w:rsid w:val="00C339EB"/>
    <w:rsid w:val="00C34AF9"/>
    <w:rsid w:val="00C34F75"/>
    <w:rsid w:val="00C409AA"/>
    <w:rsid w:val="00C4251D"/>
    <w:rsid w:val="00C43DC4"/>
    <w:rsid w:val="00C44AAC"/>
    <w:rsid w:val="00C45493"/>
    <w:rsid w:val="00C455D6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87BF8"/>
    <w:rsid w:val="00C910ED"/>
    <w:rsid w:val="00C948F9"/>
    <w:rsid w:val="00C94ADF"/>
    <w:rsid w:val="00CA1E4E"/>
    <w:rsid w:val="00CA26F1"/>
    <w:rsid w:val="00CA5763"/>
    <w:rsid w:val="00CA6441"/>
    <w:rsid w:val="00CA752C"/>
    <w:rsid w:val="00CB0FAB"/>
    <w:rsid w:val="00CB3B79"/>
    <w:rsid w:val="00CB55CF"/>
    <w:rsid w:val="00CB745C"/>
    <w:rsid w:val="00CC1850"/>
    <w:rsid w:val="00CC7EE8"/>
    <w:rsid w:val="00CD0D9E"/>
    <w:rsid w:val="00CD4241"/>
    <w:rsid w:val="00CD6C86"/>
    <w:rsid w:val="00CE0E2D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20318"/>
    <w:rsid w:val="00D20894"/>
    <w:rsid w:val="00D32020"/>
    <w:rsid w:val="00D44C22"/>
    <w:rsid w:val="00D53274"/>
    <w:rsid w:val="00D578E9"/>
    <w:rsid w:val="00D57F98"/>
    <w:rsid w:val="00D6027F"/>
    <w:rsid w:val="00D61977"/>
    <w:rsid w:val="00D709BE"/>
    <w:rsid w:val="00D7127A"/>
    <w:rsid w:val="00D754C5"/>
    <w:rsid w:val="00D75A81"/>
    <w:rsid w:val="00D765CA"/>
    <w:rsid w:val="00D8183C"/>
    <w:rsid w:val="00D87E3C"/>
    <w:rsid w:val="00D9230F"/>
    <w:rsid w:val="00D92DB1"/>
    <w:rsid w:val="00D93808"/>
    <w:rsid w:val="00D94EF2"/>
    <w:rsid w:val="00DA17CB"/>
    <w:rsid w:val="00DA4225"/>
    <w:rsid w:val="00DB2F4C"/>
    <w:rsid w:val="00DB6A63"/>
    <w:rsid w:val="00DC22CF"/>
    <w:rsid w:val="00DC3CBA"/>
    <w:rsid w:val="00DC542E"/>
    <w:rsid w:val="00DC5581"/>
    <w:rsid w:val="00DC6D4C"/>
    <w:rsid w:val="00DC760F"/>
    <w:rsid w:val="00DE16ED"/>
    <w:rsid w:val="00DE2103"/>
    <w:rsid w:val="00DE26D5"/>
    <w:rsid w:val="00DF3C19"/>
    <w:rsid w:val="00DF6C2E"/>
    <w:rsid w:val="00E02E24"/>
    <w:rsid w:val="00E05000"/>
    <w:rsid w:val="00E059B9"/>
    <w:rsid w:val="00E1356E"/>
    <w:rsid w:val="00E13F5C"/>
    <w:rsid w:val="00E21F76"/>
    <w:rsid w:val="00E23A2E"/>
    <w:rsid w:val="00E270FC"/>
    <w:rsid w:val="00E32723"/>
    <w:rsid w:val="00E33649"/>
    <w:rsid w:val="00E34AFD"/>
    <w:rsid w:val="00E35688"/>
    <w:rsid w:val="00E36B76"/>
    <w:rsid w:val="00E46453"/>
    <w:rsid w:val="00E511D2"/>
    <w:rsid w:val="00E52665"/>
    <w:rsid w:val="00E618C7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4F7B"/>
    <w:rsid w:val="00E95D4C"/>
    <w:rsid w:val="00EA0905"/>
    <w:rsid w:val="00EA37F8"/>
    <w:rsid w:val="00EA4F48"/>
    <w:rsid w:val="00EA7616"/>
    <w:rsid w:val="00EA7998"/>
    <w:rsid w:val="00EC0821"/>
    <w:rsid w:val="00EC277D"/>
    <w:rsid w:val="00EC778D"/>
    <w:rsid w:val="00EC7CD5"/>
    <w:rsid w:val="00ED24CE"/>
    <w:rsid w:val="00ED4FD7"/>
    <w:rsid w:val="00EE0248"/>
    <w:rsid w:val="00EE3BE3"/>
    <w:rsid w:val="00EF7652"/>
    <w:rsid w:val="00F005F5"/>
    <w:rsid w:val="00F0113B"/>
    <w:rsid w:val="00F02611"/>
    <w:rsid w:val="00F048C4"/>
    <w:rsid w:val="00F103F8"/>
    <w:rsid w:val="00F12EF8"/>
    <w:rsid w:val="00F145D1"/>
    <w:rsid w:val="00F16628"/>
    <w:rsid w:val="00F20D19"/>
    <w:rsid w:val="00F20E0E"/>
    <w:rsid w:val="00F219F0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299A"/>
    <w:rsid w:val="00F73580"/>
    <w:rsid w:val="00F806AF"/>
    <w:rsid w:val="00F82482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4710"/>
    <w:rsid w:val="00FB5233"/>
    <w:rsid w:val="00FC40D7"/>
    <w:rsid w:val="00FD37E8"/>
    <w:rsid w:val="00FD5843"/>
    <w:rsid w:val="00FE04C4"/>
    <w:rsid w:val="00FE0911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340D"/>
    <w:pPr>
      <w:ind w:leftChars="200" w:left="480"/>
    </w:pPr>
  </w:style>
  <w:style w:type="paragraph" w:customStyle="1" w:styleId="Standard">
    <w:name w:val="Standard"/>
    <w:rsid w:val="005E340D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8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F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8167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816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8167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31E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31EF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E340D"/>
    <w:pPr>
      <w:ind w:leftChars="200" w:left="480"/>
    </w:pPr>
  </w:style>
  <w:style w:type="paragraph" w:customStyle="1" w:styleId="Standard">
    <w:name w:val="Standard"/>
    <w:rsid w:val="005E340D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24415C7-5D00-4C6C-BA92-DAF5A47D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1632</Characters>
  <Application>Microsoft Office Word</Application>
  <DocSecurity>0</DocSecurity>
  <Lines>13</Lines>
  <Paragraphs>3</Paragraphs>
  <ScaleCrop>false</ScaleCrop>
  <Company>OEM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2017-01-06T03:00:00Z</cp:lastPrinted>
  <dcterms:created xsi:type="dcterms:W3CDTF">2017-03-01T07:45:00Z</dcterms:created>
  <dcterms:modified xsi:type="dcterms:W3CDTF">2017-03-21T02:36:00Z</dcterms:modified>
</cp:coreProperties>
</file>